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1"/>
        <w:ind w:left="-993"/>
        <w:jc w:val="center"/>
        <w:rPr>
          <w:rFonts w:ascii="Arial" w:hAnsi="Arial" w:cs="Arial"/>
          <w:b/>
          <w:color w:val="e36c0a" w:themeColor="accent6" w:themeShade="BF"/>
          <w:sz w:val="36"/>
          <w:szCs w:val="20"/>
        </w:rPr>
      </w:pPr>
      <w:r/>
      <w:bookmarkStart w:id="0" w:name="_GoBack"/>
      <w:r/>
      <w:bookmarkEnd w:id="0"/>
      <w:r>
        <w:rPr>
          <w:rFonts w:ascii="Arial" w:hAnsi="Arial" w:cs="Arial"/>
          <w:b/>
          <w:color w:val="e36c0a" w:themeColor="accent6" w:themeShade="BF"/>
          <w:sz w:val="36"/>
          <w:szCs w:val="20"/>
        </w:rPr>
        <w:t xml:space="preserve">Новогодние каникулы</w:t>
      </w:r>
      <w:r>
        <w:rPr>
          <w:rFonts w:ascii="Arial" w:hAnsi="Arial" w:cs="Arial"/>
          <w:b/>
          <w:color w:val="e36c0a" w:themeColor="accent6" w:themeShade="BF"/>
          <w:sz w:val="36"/>
          <w:szCs w:val="20"/>
        </w:rPr>
        <w:t xml:space="preserve"> в Узбекистане</w:t>
      </w:r>
      <w:r>
        <w:rPr>
          <w:rFonts w:ascii="Arial" w:hAnsi="Arial" w:cs="Arial"/>
          <w:b/>
          <w:color w:val="e36c0a" w:themeColor="accent6" w:themeShade="BF"/>
          <w:sz w:val="36"/>
          <w:szCs w:val="20"/>
        </w:rPr>
      </w:r>
    </w:p>
    <w:p>
      <w:pPr>
        <w:pStyle w:val="681"/>
        <w:ind w:left="-993"/>
        <w:jc w:val="center"/>
        <w:rPr>
          <w:rFonts w:ascii="Arial" w:hAnsi="Arial" w:cs="Arial"/>
          <w:b/>
          <w:color w:val="e36c0a" w:themeColor="accent6" w:themeShade="BF"/>
          <w:sz w:val="36"/>
          <w:szCs w:val="20"/>
        </w:rPr>
      </w:pPr>
      <w:r>
        <w:rPr>
          <w:rFonts w:ascii="Arial" w:hAnsi="Arial" w:cs="Arial"/>
          <w:b/>
          <w:color w:val="e36c0a" w:themeColor="accent6" w:themeShade="BF"/>
          <w:sz w:val="36"/>
          <w:szCs w:val="20"/>
        </w:rPr>
        <w:t xml:space="preserve">4</w:t>
      </w:r>
      <w:r>
        <w:rPr>
          <w:rFonts w:ascii="Arial" w:hAnsi="Arial" w:cs="Arial"/>
          <w:b/>
          <w:color w:val="e36c0a" w:themeColor="accent6" w:themeShade="BF"/>
          <w:sz w:val="36"/>
          <w:szCs w:val="20"/>
        </w:rPr>
        <w:t xml:space="preserve"> дн</w:t>
      </w:r>
      <w:r>
        <w:rPr>
          <w:rFonts w:ascii="Arial" w:hAnsi="Arial" w:cs="Arial"/>
          <w:b/>
          <w:color w:val="e36c0a" w:themeColor="accent6" w:themeShade="BF"/>
          <w:sz w:val="36"/>
          <w:szCs w:val="20"/>
        </w:rPr>
        <w:t xml:space="preserve">я</w:t>
      </w:r>
      <w:r>
        <w:rPr>
          <w:rFonts w:ascii="Arial" w:hAnsi="Arial" w:cs="Arial"/>
          <w:b/>
          <w:color w:val="e36c0a" w:themeColor="accent6" w:themeShade="BF"/>
          <w:sz w:val="36"/>
          <w:szCs w:val="20"/>
        </w:rPr>
        <w:t xml:space="preserve">, </w:t>
      </w:r>
      <w:r>
        <w:rPr>
          <w:rFonts w:ascii="Arial" w:hAnsi="Arial" w:cs="Arial"/>
          <w:b/>
          <w:color w:val="e36c0a" w:themeColor="accent6" w:themeShade="BF"/>
          <w:sz w:val="36"/>
          <w:szCs w:val="20"/>
        </w:rPr>
        <w:t xml:space="preserve">3</w:t>
      </w:r>
      <w:r>
        <w:rPr>
          <w:rFonts w:ascii="Arial" w:hAnsi="Arial" w:cs="Arial"/>
          <w:b/>
          <w:color w:val="e36c0a" w:themeColor="accent6" w:themeShade="BF"/>
          <w:sz w:val="36"/>
          <w:szCs w:val="20"/>
        </w:rPr>
        <w:t xml:space="preserve"> ноч</w:t>
      </w:r>
      <w:r>
        <w:rPr>
          <w:rFonts w:ascii="Arial" w:hAnsi="Arial" w:cs="Arial"/>
          <w:b/>
          <w:color w:val="e36c0a" w:themeColor="accent6" w:themeShade="BF"/>
          <w:sz w:val="36"/>
          <w:szCs w:val="20"/>
        </w:rPr>
        <w:t xml:space="preserve">и</w:t>
      </w:r>
      <w:r>
        <w:rPr>
          <w:rFonts w:ascii="Arial" w:hAnsi="Arial" w:cs="Arial"/>
          <w:b/>
          <w:color w:val="e36c0a" w:themeColor="accent6" w:themeShade="BF"/>
          <w:sz w:val="36"/>
          <w:szCs w:val="20"/>
        </w:rPr>
        <w:t xml:space="preserve"> (20</w:t>
      </w:r>
      <w:r>
        <w:rPr>
          <w:rFonts w:ascii="Arial" w:hAnsi="Arial" w:cs="Arial"/>
          <w:b/>
          <w:color w:val="e36c0a" w:themeColor="accent6" w:themeShade="BF"/>
          <w:sz w:val="36"/>
          <w:szCs w:val="20"/>
        </w:rPr>
        <w:t xml:space="preserve">2</w:t>
      </w:r>
      <w:r>
        <w:rPr>
          <w:rFonts w:ascii="Arial" w:hAnsi="Arial" w:cs="Arial"/>
          <w:b/>
          <w:color w:val="e36c0a" w:themeColor="accent6" w:themeShade="BF"/>
          <w:sz w:val="36"/>
          <w:szCs w:val="20"/>
        </w:rPr>
        <w:t xml:space="preserve">5</w:t>
      </w:r>
      <w:r>
        <w:rPr>
          <w:rFonts w:ascii="Arial" w:hAnsi="Arial" w:cs="Arial"/>
          <w:b/>
          <w:color w:val="e36c0a" w:themeColor="accent6" w:themeShade="BF"/>
          <w:sz w:val="36"/>
          <w:szCs w:val="20"/>
        </w:rPr>
        <w:t xml:space="preserve">)</w:t>
      </w:r>
      <w:r>
        <w:rPr>
          <w:rFonts w:ascii="Arial" w:hAnsi="Arial" w:cs="Arial"/>
          <w:b/>
          <w:color w:val="e36c0a" w:themeColor="accent6" w:themeShade="BF"/>
          <w:sz w:val="36"/>
          <w:szCs w:val="20"/>
        </w:rPr>
      </w:r>
    </w:p>
    <w:p>
      <w:pPr>
        <w:pStyle w:val="681"/>
        <w:ind w:left="-993"/>
        <w:jc w:val="center"/>
        <w:rPr>
          <w:rFonts w:ascii="Arial" w:hAnsi="Arial" w:cs="Arial"/>
          <w:b/>
          <w:color w:val="e36c0a" w:themeColor="accent6" w:themeShade="BF"/>
          <w:sz w:val="36"/>
          <w:szCs w:val="20"/>
        </w:rPr>
      </w:pPr>
      <w:r>
        <w:rPr>
          <w:rFonts w:ascii="Arial" w:hAnsi="Arial" w:cs="Arial"/>
          <w:b/>
          <w:color w:val="e36c0a" w:themeColor="accent6" w:themeShade="BF"/>
          <w:sz w:val="36"/>
          <w:szCs w:val="20"/>
        </w:rPr>
        <w:t xml:space="preserve">Ташкент</w:t>
      </w:r>
      <w:r>
        <w:rPr>
          <w:rFonts w:ascii="Arial" w:hAnsi="Arial" w:cs="Arial"/>
          <w:b/>
          <w:color w:val="e36c0a" w:themeColor="accent6" w:themeShade="BF"/>
          <w:sz w:val="36"/>
          <w:szCs w:val="20"/>
        </w:rPr>
        <w:t xml:space="preserve">- </w:t>
      </w:r>
      <w:r>
        <w:rPr>
          <w:rFonts w:ascii="Arial" w:hAnsi="Arial" w:cs="Arial"/>
          <w:b/>
          <w:color w:val="e36c0a" w:themeColor="accent6" w:themeShade="BF"/>
          <w:sz w:val="36"/>
          <w:szCs w:val="20"/>
        </w:rPr>
        <w:t xml:space="preserve">Самарканд</w:t>
      </w:r>
      <w:r>
        <w:rPr>
          <w:rFonts w:ascii="Arial" w:hAnsi="Arial" w:cs="Arial"/>
          <w:b/>
          <w:color w:val="e36c0a" w:themeColor="accent6" w:themeShade="BF"/>
          <w:sz w:val="36"/>
          <w:szCs w:val="20"/>
        </w:rPr>
        <w:t xml:space="preserve">–Бухара</w:t>
      </w:r>
      <w:r>
        <w:rPr>
          <w:rFonts w:ascii="Arial" w:hAnsi="Arial" w:cs="Arial"/>
          <w:b/>
          <w:color w:val="e36c0a" w:themeColor="accent6" w:themeShade="BF"/>
          <w:sz w:val="36"/>
          <w:szCs w:val="20"/>
        </w:rPr>
      </w:r>
    </w:p>
    <w:p>
      <w:pPr>
        <w:ind w:left="-993"/>
        <w:jc w:val="center"/>
        <w:rPr>
          <w:rStyle w:val="674"/>
          <w:rFonts w:ascii="Arial" w:hAnsi="Arial" w:cs="Arial"/>
          <w:b w:val="0"/>
          <w:i/>
          <w:shd w:val="clear" w:color="auto" w:fill="ffffff"/>
        </w:rPr>
      </w:pPr>
      <w:r>
        <w:rPr>
          <w:rStyle w:val="674"/>
          <w:rFonts w:ascii="Arial" w:hAnsi="Arial" w:cs="Arial"/>
          <w:b w:val="0"/>
          <w:i/>
          <w:shd w:val="clear" w:color="auto" w:fill="ffffff"/>
        </w:rPr>
        <w:t xml:space="preserve">Высокие и эле</w:t>
      </w:r>
      <w:r>
        <w:rPr>
          <w:rStyle w:val="674"/>
          <w:rFonts w:ascii="Arial" w:hAnsi="Arial" w:cs="Arial"/>
          <w:b w:val="0"/>
          <w:i/>
          <w:shd w:val="clear" w:color="auto" w:fill="ffffff"/>
        </w:rPr>
        <w:t xml:space="preserve">гантные минареты, грандиозные медресе и мечети, средневековые дворцы и мавзолеи, неповторимая суета и колорит восточных базаров, сказочные легенды, теплое гостеприимство и древние традиции местного населения оставят неизгладимое впечатление в вашей памяти.</w:t>
      </w:r>
      <w:r>
        <w:rPr>
          <w:rStyle w:val="674"/>
          <w:rFonts w:ascii="Arial" w:hAnsi="Arial" w:cs="Arial"/>
          <w:b w:val="0"/>
          <w:i/>
          <w:shd w:val="clear" w:color="auto" w:fill="ffffff"/>
        </w:rPr>
      </w:r>
    </w:p>
    <w:p>
      <w:pPr>
        <w:rPr>
          <w:rStyle w:val="674"/>
          <w:rFonts w:ascii="Arial" w:hAnsi="Arial" w:cs="Arial"/>
          <w:i/>
          <w:shd w:val="clear" w:color="auto" w:fill="ffffff"/>
        </w:rPr>
      </w:pPr>
      <w:r>
        <w:rPr>
          <w:rFonts w:ascii="Arial" w:hAnsi="Arial" w:eastAsia="Arial" w:cs="Arial"/>
          <w:b/>
          <w:color w:val="808000"/>
          <w:sz w:val="20"/>
          <w:szCs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-509270</wp:posOffset>
                </wp:positionH>
                <wp:positionV relativeFrom="paragraph">
                  <wp:posOffset>9525</wp:posOffset>
                </wp:positionV>
                <wp:extent cx="1930400" cy="1302385"/>
                <wp:effectExtent l="0" t="0" r="0" b="0"/>
                <wp:wrapThrough wrapText="bothSides">
                  <wp:wrapPolygon edited="1">
                    <wp:start x="0" y="0"/>
                    <wp:lineTo x="0" y="21168"/>
                    <wp:lineTo x="21316" y="21168"/>
                    <wp:lineTo x="21316" y="0"/>
                    <wp:lineTo x="0" y="0"/>
                  </wp:wrapPolygon>
                </wp:wrapThrough>
                <wp:docPr id="1" name="Рисунок 2" descr="d1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1-0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930400" cy="1302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3120;o:allowoverlap:true;o:allowincell:true;mso-position-horizontal-relative:text;margin-left:-40.10pt;mso-position-horizontal:absolute;mso-position-vertical-relative:text;margin-top:0.75pt;mso-position-vertical:absolute;width:152.00pt;height:102.55pt;mso-wrap-distance-left:9.00pt;mso-wrap-distance-top:0.00pt;mso-wrap-distance-right:9.00pt;mso-wrap-distance-bottom:0.00pt;" wrapcoords="0 0 0 98000 98685 98000 98685 0 0 0" stroked="f">
                <v:path textboxrect="0,0,0,0"/>
                <w10:wrap type="through"/>
                <v:imagedata r:id="rId11" o:title=""/>
              </v:shape>
            </w:pict>
          </mc:Fallback>
        </mc:AlternateContent>
      </w:r>
      <w:r>
        <w:rPr>
          <w:rFonts w:ascii="Arial" w:hAnsi="Arial" w:eastAsia="Arial" w:cs="Arial"/>
          <w:b/>
          <w:color w:val="808000"/>
          <w:sz w:val="20"/>
          <w:szCs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3968115</wp:posOffset>
                </wp:positionH>
                <wp:positionV relativeFrom="paragraph">
                  <wp:posOffset>5715</wp:posOffset>
                </wp:positionV>
                <wp:extent cx="2045335" cy="1256665"/>
                <wp:effectExtent l="0" t="0" r="0" b="0"/>
                <wp:wrapThrough wrapText="bothSides">
                  <wp:wrapPolygon edited="1">
                    <wp:start x="0" y="0"/>
                    <wp:lineTo x="0" y="21283"/>
                    <wp:lineTo x="21325" y="21283"/>
                    <wp:lineTo x="21325" y="0"/>
                    <wp:lineTo x="0" y="0"/>
                  </wp:wrapPolygon>
                </wp:wrapThrough>
                <wp:docPr id="2" name="Рисунок 4" descr="d4-4s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d4-4sm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2045335" cy="12566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67456;o:allowoverlap:true;o:allowincell:true;mso-position-horizontal-relative:text;margin-left:312.45pt;mso-position-horizontal:absolute;mso-position-vertical-relative:text;margin-top:0.45pt;mso-position-vertical:absolute;width:161.05pt;height:98.95pt;mso-wrap-distance-left:9.00pt;mso-wrap-distance-top:0.00pt;mso-wrap-distance-right:9.00pt;mso-wrap-distance-bottom:0.00pt;" wrapcoords="0 0 0 98532 98727 98532 98727 0 0 0" stroked="f">
                <v:path textboxrect="0,0,0,0"/>
                <w10:wrap type="through"/>
                <v:imagedata r:id="rId12" o:title=""/>
              </v:shape>
            </w:pict>
          </mc:Fallback>
        </mc:AlternateContent>
      </w:r>
      <w:r>
        <w:rPr>
          <w:rFonts w:ascii="Arial" w:hAnsi="Arial" w:eastAsia="Arial" w:cs="Arial"/>
          <w:b/>
          <w:color w:val="808000"/>
          <w:sz w:val="20"/>
          <w:szCs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14605</wp:posOffset>
                </wp:positionV>
                <wp:extent cx="1851025" cy="1257300"/>
                <wp:effectExtent l="0" t="0" r="0" b="0"/>
                <wp:wrapThrough wrapText="bothSides">
                  <wp:wrapPolygon edited="1">
                    <wp:start x="0" y="0"/>
                    <wp:lineTo x="0" y="21273"/>
                    <wp:lineTo x="21341" y="21273"/>
                    <wp:lineTo x="21341" y="0"/>
                    <wp:lineTo x="0" y="0"/>
                  </wp:wrapPolygon>
                </wp:wrapThrough>
                <wp:docPr id="3" name="Рисунок 3" descr="d4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4-0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85102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251659264;o:allowoverlap:true;o:allowincell:true;mso-position-horizontal-relative:text;margin-left:140.70pt;mso-position-horizontal:absolute;mso-position-vertical-relative:text;margin-top:1.15pt;mso-position-vertical:absolute;width:145.75pt;height:99.00pt;mso-wrap-distance-left:9.00pt;mso-wrap-distance-top:0.00pt;mso-wrap-distance-right:9.00pt;mso-wrap-distance-bottom:0.00pt;" wrapcoords="0 0 0 98486 98801 98486 98801 0 0 0" stroked="f">
                <v:path textboxrect="0,0,0,0"/>
                <w10:wrap type="through"/>
                <v:imagedata r:id="rId13" o:title=""/>
              </v:shape>
            </w:pict>
          </mc:Fallback>
        </mc:AlternateContent>
      </w:r>
      <w:r>
        <w:rPr>
          <w:rStyle w:val="674"/>
          <w:rFonts w:ascii="Arial" w:hAnsi="Arial" w:cs="Arial"/>
          <w:i/>
          <w:shd w:val="clear" w:color="auto" w:fill="ffffff"/>
        </w:rPr>
      </w:r>
    </w:p>
    <w:p>
      <w:pPr>
        <w:ind w:left="-993"/>
        <w:jc w:val="center"/>
        <w:rPr>
          <w:rStyle w:val="674"/>
          <w:rFonts w:ascii="Arial" w:hAnsi="Arial" w:cs="Arial"/>
          <w:b w:val="0"/>
          <w:i/>
          <w:shd w:val="clear" w:color="auto" w:fill="ffffff"/>
        </w:rPr>
      </w:pPr>
      <w:r>
        <w:rPr>
          <w:rFonts w:ascii="Arial" w:hAnsi="Arial" w:cs="Arial"/>
          <w:b w:val="0"/>
          <w:i/>
          <w:shd w:val="clear" w:color="auto" w:fill="ffffff"/>
        </w:rPr>
      </w:r>
      <w:r>
        <w:rPr>
          <w:rStyle w:val="674"/>
          <w:rFonts w:ascii="Arial" w:hAnsi="Arial" w:cs="Arial"/>
          <w:b w:val="0"/>
          <w:i/>
          <w:shd w:val="clear" w:color="auto" w:fill="ffffff"/>
        </w:rPr>
      </w:r>
    </w:p>
    <w:p>
      <w:pPr>
        <w:ind w:left="-993"/>
        <w:jc w:val="center"/>
        <w:rPr>
          <w:rStyle w:val="674"/>
          <w:rFonts w:ascii="Arial" w:hAnsi="Arial" w:cs="Arial"/>
          <w:i/>
          <w:shd w:val="clear" w:color="auto" w:fill="ffffff"/>
        </w:rPr>
      </w:pPr>
      <w:r>
        <w:rPr>
          <w:rFonts w:ascii="Arial" w:hAnsi="Arial" w:cs="Arial"/>
          <w:i/>
          <w:shd w:val="clear" w:color="auto" w:fill="ffffff"/>
        </w:rPr>
      </w:r>
      <w:r>
        <w:rPr>
          <w:rStyle w:val="674"/>
          <w:rFonts w:ascii="Arial" w:hAnsi="Arial" w:cs="Arial"/>
          <w:i/>
          <w:shd w:val="clear" w:color="auto" w:fill="ffffff"/>
        </w:rPr>
      </w:r>
    </w:p>
    <w:p>
      <w:pPr>
        <w:ind w:left="-993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</w:r>
      <w:r>
        <w:rPr>
          <w:rFonts w:ascii="Arial" w:hAnsi="Arial" w:cs="Arial"/>
          <w:b/>
          <w:i/>
        </w:rPr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tbl>
      <w:tblPr>
        <w:tblW w:w="5676" w:type="pct"/>
        <w:tblInd w:w="-1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9802"/>
      </w:tblGrid>
      <w:tr>
        <w:trPr/>
        <w:tc>
          <w:tcPr>
            <w:shd w:val="clear" w:color="auto" w:fill="ffffff"/>
            <w:tcMar>
              <w:left w:w="105" w:type="dxa"/>
              <w:top w:w="105" w:type="dxa"/>
              <w:right w:w="105" w:type="dxa"/>
              <w:bottom w:w="105" w:type="dxa"/>
            </w:tcMar>
            <w:tcW w:w="679" w:type="pct"/>
            <w:textDirection w:val="lrTb"/>
            <w:noWrap w:val="false"/>
          </w:tcPr>
          <w:p>
            <w:pPr>
              <w:jc w:val="center"/>
              <w:rPr>
                <w:rStyle w:val="674"/>
                <w:rFonts w:ascii="Arial" w:hAnsi="Arial" w:cs="Arial"/>
                <w:sz w:val="20"/>
                <w:szCs w:val="20"/>
              </w:rPr>
            </w:pPr>
            <w:r>
              <w:rPr>
                <w:rStyle w:val="674"/>
                <w:rFonts w:ascii="Arial" w:hAnsi="Arial" w:cs="Arial"/>
                <w:sz w:val="20"/>
                <w:szCs w:val="20"/>
              </w:rPr>
              <w:t xml:space="preserve">1 день</w:t>
            </w:r>
            <w:r>
              <w:rPr>
                <w:rStyle w:val="674"/>
                <w:rFonts w:ascii="Arial" w:hAnsi="Arial" w:cs="Arial"/>
                <w:sz w:val="20"/>
                <w:szCs w:val="20"/>
              </w:rPr>
            </w:r>
          </w:p>
          <w:p>
            <w:pPr>
              <w:jc w:val="center"/>
              <w:spacing w:line="45" w:lineRule="atLeast"/>
              <w:rPr>
                <w:rStyle w:val="674"/>
                <w:rFonts w:ascii="Arial" w:hAnsi="Arial" w:cs="Arial"/>
                <w:sz w:val="20"/>
                <w:szCs w:val="20"/>
              </w:rPr>
            </w:pPr>
            <w:r>
              <w:rPr>
                <w:rStyle w:val="674"/>
                <w:rFonts w:ascii="Arial" w:hAnsi="Arial" w:cs="Arial"/>
                <w:sz w:val="20"/>
                <w:szCs w:val="20"/>
              </w:rPr>
              <w:t xml:space="preserve">04/01</w:t>
            </w:r>
            <w:r>
              <w:rPr>
                <w:rStyle w:val="674"/>
                <w:rFonts w:ascii="Arial" w:hAnsi="Arial" w:cs="Arial"/>
                <w:sz w:val="20"/>
                <w:szCs w:val="20"/>
              </w:rPr>
            </w:r>
          </w:p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ffffff"/>
            <w:tcMar>
              <w:left w:w="105" w:type="dxa"/>
              <w:top w:w="105" w:type="dxa"/>
              <w:right w:w="105" w:type="dxa"/>
              <w:bottom w:w="105" w:type="dxa"/>
            </w:tcMar>
            <w:tcW w:w="4321" w:type="pct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674"/>
                <w:rFonts w:ascii="Arial" w:hAnsi="Arial" w:cs="Arial"/>
                <w:sz w:val="22"/>
                <w:szCs w:val="22"/>
              </w:rPr>
              <w:t xml:space="preserve">Санкт-Петербург</w:t>
            </w:r>
            <w:r>
              <w:rPr>
                <w:rStyle w:val="674"/>
                <w:rFonts w:ascii="Arial" w:hAnsi="Arial" w:cs="Arial"/>
                <w:sz w:val="22"/>
                <w:szCs w:val="22"/>
              </w:rPr>
              <w:t xml:space="preserve">-</w:t>
            </w:r>
            <w:r>
              <w:rPr>
                <w:rStyle w:val="674"/>
                <w:rFonts w:ascii="Arial" w:hAnsi="Arial" w:cs="Arial"/>
                <w:sz w:val="22"/>
                <w:szCs w:val="22"/>
              </w:rPr>
              <w:t xml:space="preserve">Ташкент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Прилет в </w:t>
            </w:r>
            <w:r>
              <w:rPr>
                <w:rFonts w:ascii="Arial" w:hAnsi="Arial" w:cs="Arial"/>
                <w:sz w:val="20"/>
                <w:szCs w:val="20"/>
              </w:rPr>
              <w:t xml:space="preserve">Ташкент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в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рейсом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HY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встреча с табличкой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на выход</w:t>
            </w:r>
            <w:r>
              <w:rPr>
                <w:rFonts w:ascii="Arial" w:hAnsi="Arial" w:cs="Arial"/>
                <w:sz w:val="20"/>
                <w:szCs w:val="20"/>
              </w:rPr>
              <w:t xml:space="preserve">е из аэропорта. 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</w:t>
            </w:r>
            <w:r>
              <w:rPr>
                <w:rFonts w:ascii="Arial" w:hAnsi="Arial" w:cs="Arial"/>
                <w:sz w:val="20"/>
                <w:szCs w:val="20"/>
              </w:rPr>
              <w:t xml:space="preserve">автрак в </w:t>
            </w:r>
            <w:r>
              <w:rPr>
                <w:rFonts w:ascii="Arial" w:hAnsi="Arial" w:cs="Arial"/>
                <w:sz w:val="20"/>
                <w:szCs w:val="20"/>
              </w:rPr>
              <w:t xml:space="preserve">отеле.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Заселение после экскурсии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spacing w:line="4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09:00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Экскурсия по Ташкенту.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Посещение площади Независимости, сквер Амира Темура далее экскурсия по старой части города. </w:t>
            </w:r>
            <w:r>
              <w:rPr>
                <w:rFonts w:ascii="Arial" w:hAnsi="Arial" w:cs="Arial"/>
                <w:sz w:val="20"/>
                <w:szCs w:val="20"/>
              </w:rPr>
              <w:t xml:space="preserve">Комплекс Хасти Имам: Комплекс состоит из мечети Тилля-Шейх, в которой хранится Коран Османа, Мавзолея Абу-Бакра Каффаля Шаши, медресе Барак-Хана и Исламского института Имама аль-Бухари</w:t>
            </w:r>
            <w:r>
              <w:rPr>
                <w:rFonts w:ascii="Arial" w:hAnsi="Arial" w:cs="Arial"/>
                <w:sz w:val="20"/>
                <w:szCs w:val="20"/>
              </w:rPr>
              <w:t xml:space="preserve">. Прогулка по базару Чорсу.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Обед, ужин</w:t>
            </w:r>
            <w:r>
              <w:rPr>
                <w:rFonts w:ascii="Arial" w:hAnsi="Arial" w:cs="Arial"/>
                <w:sz w:val="20"/>
                <w:szCs w:val="20"/>
              </w:rPr>
              <w:t xml:space="preserve"> свободные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ffffff"/>
            <w:tcMar>
              <w:left w:w="105" w:type="dxa"/>
              <w:top w:w="105" w:type="dxa"/>
              <w:right w:w="105" w:type="dxa"/>
              <w:bottom w:w="105" w:type="dxa"/>
            </w:tcMar>
            <w:tcW w:w="679" w:type="pct"/>
            <w:textDirection w:val="lrTb"/>
            <w:noWrap w:val="false"/>
          </w:tcPr>
          <w:p>
            <w:pPr>
              <w:jc w:val="center"/>
              <w:spacing w:line="45" w:lineRule="atLeast"/>
              <w:rPr>
                <w:rStyle w:val="674"/>
                <w:rFonts w:ascii="Arial" w:hAnsi="Arial" w:cs="Arial"/>
                <w:sz w:val="20"/>
                <w:szCs w:val="20"/>
              </w:rPr>
            </w:pPr>
            <w:r>
              <w:rPr>
                <w:rStyle w:val="674"/>
                <w:rFonts w:ascii="Arial" w:hAnsi="Arial" w:cs="Arial"/>
                <w:sz w:val="20"/>
                <w:szCs w:val="20"/>
              </w:rPr>
              <w:t xml:space="preserve">2 день</w:t>
            </w:r>
            <w:r>
              <w:rPr>
                <w:rStyle w:val="674"/>
                <w:rFonts w:ascii="Arial" w:hAnsi="Arial" w:cs="Arial"/>
                <w:sz w:val="20"/>
                <w:szCs w:val="20"/>
              </w:rPr>
            </w:r>
          </w:p>
          <w:p>
            <w:pPr>
              <w:jc w:val="center"/>
              <w:spacing w:line="45" w:lineRule="atLeast"/>
              <w:rPr>
                <w:rStyle w:val="674"/>
                <w:rFonts w:ascii="Arial" w:hAnsi="Arial" w:cs="Arial"/>
                <w:sz w:val="20"/>
                <w:szCs w:val="20"/>
              </w:rPr>
            </w:pPr>
            <w:r>
              <w:rPr>
                <w:rStyle w:val="674"/>
                <w:rFonts w:ascii="Arial" w:hAnsi="Arial" w:cs="Arial"/>
                <w:sz w:val="20"/>
                <w:szCs w:val="20"/>
              </w:rPr>
              <w:t xml:space="preserve">05/01</w:t>
            </w:r>
            <w:r>
              <w:rPr>
                <w:rStyle w:val="674"/>
                <w:rFonts w:ascii="Arial" w:hAnsi="Arial" w:cs="Arial"/>
                <w:sz w:val="20"/>
                <w:szCs w:val="20"/>
              </w:rPr>
            </w:r>
          </w:p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ffffff"/>
            <w:tcMar>
              <w:left w:w="105" w:type="dxa"/>
              <w:top w:w="105" w:type="dxa"/>
              <w:right w:w="105" w:type="dxa"/>
              <w:bottom w:w="105" w:type="dxa"/>
            </w:tcMar>
            <w:tcW w:w="4321" w:type="pct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674"/>
                <w:rFonts w:ascii="Arial" w:hAnsi="Arial" w:cs="Arial"/>
                <w:sz w:val="22"/>
                <w:szCs w:val="22"/>
              </w:rPr>
              <w:t xml:space="preserve">Т</w:t>
            </w:r>
            <w:r>
              <w:rPr>
                <w:rStyle w:val="674"/>
                <w:rFonts w:ascii="Arial" w:hAnsi="Arial" w:cs="Arial"/>
                <w:sz w:val="22"/>
                <w:szCs w:val="22"/>
              </w:rPr>
              <w:t xml:space="preserve">ашкент</w:t>
            </w:r>
            <w:r>
              <w:rPr>
                <w:rStyle w:val="674"/>
                <w:rFonts w:ascii="Arial" w:hAnsi="Arial" w:cs="Arial"/>
              </w:rPr>
              <w:t xml:space="preserve">-</w:t>
            </w:r>
            <w:r>
              <w:rPr>
                <w:rStyle w:val="674"/>
                <w:rFonts w:ascii="Arial" w:hAnsi="Arial" w:cs="Arial"/>
                <w:sz w:val="22"/>
                <w:szCs w:val="22"/>
              </w:rPr>
              <w:t xml:space="preserve">Самарканд</w:t>
            </w:r>
            <w:r>
              <w:rPr>
                <w:rStyle w:val="674"/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Style w:val="674"/>
                <w:sz w:val="22"/>
                <w:szCs w:val="22"/>
              </w:rPr>
              <w:t xml:space="preserve">(320 км, поезд)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Трансфер на вокзал для выезда в Самарканд поездом согласно расписания и наличия мест.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Заселение в отель после 14:00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</w:t>
            </w:r>
            <w:r>
              <w:rPr>
                <w:rFonts w:ascii="Arial" w:hAnsi="Arial" w:cs="Arial"/>
                <w:sz w:val="20"/>
                <w:szCs w:val="20"/>
              </w:rPr>
              <w:t xml:space="preserve">ачало экскурсии по городу: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spacing w:line="4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Площадь Регистан 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сердце Самарканда. Регистан с трех сторон окружен величественными зданиями: Медресе Улугбека (1417 — 1420), Медресе Шер-Дор (1619 — 1636), Медресе Тилля-Кари (1647 — 1660).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spacing w:line="4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Мавзолей Гури Эмир –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гробница Тамерлана, где он и его потомки нашли последний приют.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spacing w:line="4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Мечеть Биби Ханум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t xml:space="preserve">По преданию мечеть построила любимая жена Тимура Биби-ханум в честь возвращения мужа из похода на Индию. По её замыслу мечеть должна была стать самым грандиозным творением Самарканда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Архитектурный комплекс Шахи - Зинда (11-15 век)</w:t>
            </w:r>
            <w:r>
              <w:rPr>
                <w:rFonts w:ascii="Arial" w:hAnsi="Arial" w:cs="Arial"/>
                <w:sz w:val="20"/>
                <w:szCs w:val="20"/>
              </w:rPr>
              <w:t xml:space="preserve"> - место з</w:t>
            </w:r>
            <w:r>
              <w:rPr>
                <w:rFonts w:ascii="Arial" w:hAnsi="Arial" w:cs="Arial"/>
                <w:sz w:val="20"/>
                <w:szCs w:val="20"/>
              </w:rPr>
              <w:t xml:space="preserve">ахоронения царственных особ и знати. Но основным мавзолеем, откуда и начинается некрополь, считается мнимая могила двоюродного брата пророка Мухаммеда - Кусама Ибн-Аббаса. Его так и называли «Шахи Зинда», что в переводе с персидского означает «Живой Царь».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spacing w:line="4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Посещение знаменитого базара Сиаб. Время на шоппинг</w:t>
            </w:r>
            <w:r>
              <w:rPr>
                <w:rFonts w:ascii="Arial" w:hAnsi="Arial" w:cs="Arial"/>
                <w:sz w:val="20"/>
                <w:szCs w:val="20"/>
              </w:rPr>
              <w:t xml:space="preserve">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rPr>
                <w:rStyle w:val="674"/>
                <w:rFonts w:ascii="Arial" w:hAnsi="Arial" w:cs="Arial"/>
                <w:color w:val="31849b" w:themeColor="accent5" w:themeShade="BF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Обед, у</w:t>
            </w:r>
            <w:r>
              <w:rPr>
                <w:rFonts w:ascii="Arial" w:hAnsi="Arial" w:cs="Arial"/>
                <w:sz w:val="20"/>
                <w:szCs w:val="20"/>
              </w:rPr>
              <w:t xml:space="preserve">жин свободны</w:t>
            </w:r>
            <w:r>
              <w:rPr>
                <w:rFonts w:ascii="Arial" w:hAnsi="Arial" w:cs="Arial"/>
                <w:sz w:val="20"/>
                <w:szCs w:val="20"/>
              </w:rPr>
              <w:t xml:space="preserve">е</w:t>
            </w:r>
            <w:r>
              <w:rPr>
                <w:rFonts w:ascii="Arial" w:hAnsi="Arial" w:cs="Arial"/>
                <w:sz w:val="20"/>
                <w:szCs w:val="20"/>
              </w:rPr>
              <w:t xml:space="preserve">.</w:t>
            </w:r>
            <w:r>
              <w:rPr>
                <w:rFonts w:ascii="Arial" w:hAnsi="Arial" w:cs="Arial"/>
                <w:sz w:val="20"/>
                <w:szCs w:val="20"/>
              </w:rPr>
              <w:t xml:space="preserve"> Ночь в отеле.</w:t>
            </w:r>
            <w:r>
              <w:rPr>
                <w:rStyle w:val="674"/>
                <w:rFonts w:ascii="Arial" w:hAnsi="Arial" w:cs="Arial"/>
                <w:color w:val="31849b" w:themeColor="accent5" w:themeShade="BF"/>
              </w:rPr>
            </w:r>
          </w:p>
        </w:tc>
      </w:tr>
      <w:tr>
        <w:trPr/>
        <w:tc>
          <w:tcPr>
            <w:shd w:val="clear" w:color="auto" w:fill="ffffff"/>
            <w:tcMar>
              <w:left w:w="105" w:type="dxa"/>
              <w:top w:w="105" w:type="dxa"/>
              <w:right w:w="105" w:type="dxa"/>
              <w:bottom w:w="105" w:type="dxa"/>
            </w:tcMar>
            <w:tcW w:w="679" w:type="pct"/>
            <w:textDirection w:val="lrTb"/>
            <w:noWrap w:val="false"/>
          </w:tcPr>
          <w:p>
            <w:pPr>
              <w:jc w:val="center"/>
              <w:spacing w:line="45" w:lineRule="atLeast"/>
              <w:rPr>
                <w:rStyle w:val="674"/>
                <w:rFonts w:ascii="Arial" w:hAnsi="Arial" w:cs="Arial"/>
                <w:sz w:val="20"/>
                <w:szCs w:val="20"/>
              </w:rPr>
            </w:pPr>
            <w:r>
              <w:rPr>
                <w:rStyle w:val="674"/>
                <w:rFonts w:ascii="Arial" w:hAnsi="Arial" w:cs="Arial"/>
                <w:sz w:val="20"/>
                <w:szCs w:val="20"/>
              </w:rPr>
              <w:t xml:space="preserve">3 день</w:t>
            </w:r>
            <w:r>
              <w:rPr>
                <w:rStyle w:val="674"/>
                <w:rFonts w:ascii="Arial" w:hAnsi="Arial" w:cs="Arial"/>
                <w:sz w:val="20"/>
                <w:szCs w:val="20"/>
              </w:rPr>
            </w:r>
          </w:p>
          <w:p>
            <w:pPr>
              <w:jc w:val="center"/>
              <w:spacing w:line="4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674"/>
              </w:rPr>
              <w:t xml:space="preserve">06/01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ffffff"/>
            <w:tcMar>
              <w:left w:w="105" w:type="dxa"/>
              <w:top w:w="105" w:type="dxa"/>
              <w:right w:w="105" w:type="dxa"/>
              <w:bottom w:w="105" w:type="dxa"/>
            </w:tcMar>
            <w:tcW w:w="4321" w:type="pct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Style w:val="674"/>
                <w:rFonts w:ascii="Arial" w:hAnsi="Arial" w:cs="Arial"/>
                <w:sz w:val="22"/>
                <w:szCs w:val="22"/>
              </w:rPr>
              <w:t xml:space="preserve">С</w:t>
            </w:r>
            <w:r>
              <w:rPr>
                <w:rStyle w:val="674"/>
                <w:rFonts w:ascii="Arial" w:hAnsi="Arial" w:cs="Arial"/>
                <w:sz w:val="22"/>
                <w:szCs w:val="22"/>
              </w:rPr>
              <w:t xml:space="preserve">амарканд</w:t>
            </w:r>
            <w:r>
              <w:rPr>
                <w:rStyle w:val="674"/>
                <w:sz w:val="22"/>
                <w:szCs w:val="22"/>
              </w:rPr>
              <w:t xml:space="preserve">-</w:t>
            </w:r>
            <w:r>
              <w:rPr>
                <w:rStyle w:val="674"/>
                <w:rFonts w:ascii="Arial" w:hAnsi="Arial" w:cs="Arial"/>
                <w:sz w:val="22"/>
                <w:szCs w:val="22"/>
              </w:rPr>
              <w:t xml:space="preserve">Бухара </w:t>
            </w:r>
            <w:r>
              <w:rPr>
                <w:rStyle w:val="674"/>
                <w:rFonts w:ascii="Arial" w:hAnsi="Arial" w:cs="Arial"/>
                <w:sz w:val="22"/>
                <w:szCs w:val="22"/>
              </w:rPr>
              <w:t xml:space="preserve">(</w:t>
            </w:r>
            <w:r>
              <w:rPr>
                <w:rStyle w:val="674"/>
                <w:sz w:val="22"/>
                <w:szCs w:val="22"/>
              </w:rPr>
              <w:t xml:space="preserve">280 км</w:t>
            </w:r>
            <w:r>
              <w:rPr>
                <w:rStyle w:val="674"/>
                <w:sz w:val="22"/>
                <w:szCs w:val="22"/>
              </w:rPr>
              <w:t xml:space="preserve">, </w:t>
            </w:r>
            <w:r>
              <w:rPr>
                <w:rStyle w:val="674"/>
                <w:sz w:val="22"/>
                <w:szCs w:val="22"/>
              </w:rPr>
              <w:t xml:space="preserve">поезд</w:t>
            </w:r>
            <w:r>
              <w:rPr>
                <w:rStyle w:val="674"/>
                <w:sz w:val="22"/>
                <w:szCs w:val="22"/>
              </w:rPr>
              <w:t xml:space="preserve">)</w:t>
            </w:r>
            <w:r>
              <w:rPr>
                <w:rFonts w:ascii="Arial" w:hAnsi="Arial" w:cs="Arial"/>
                <w:b/>
                <w:bCs/>
              </w:rPr>
            </w:r>
          </w:p>
          <w:p>
            <w:pPr>
              <w:spacing w:line="4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Завтрак в отеле.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Трансфер на вокзал для выезда в Б</w:t>
            </w:r>
            <w:r>
              <w:t xml:space="preserve">ухару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поездом согласно расписания и наличия мест.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Заселение после 14:00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spacing w:line="45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Пешая экскурсия по городу: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  <w:p>
            <w:pPr>
              <w:spacing w:line="4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Архитекту</w:t>
            </w:r>
            <w:r>
              <w:rPr>
                <w:rFonts w:ascii="Arial" w:hAnsi="Arial" w:cs="Arial"/>
                <w:sz w:val="20"/>
                <w:szCs w:val="20"/>
              </w:rPr>
              <w:t xml:space="preserve">рный ансамбль Пои-Калон (Пьедестал Великого), религиозное сердце Священной Бухары, состоит из минарета Калян, мечети Калян и медресе Мири-Араб. Медресе Улугбека (1417), Медресе Нодир - Диван - Беги, Медресе Абдул Азиз Хана, Мечеть Магоки-Аттори (12-16 вв.)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Ансамбль Ляби Хауз ((14-17 век),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Ансамбль Кош-Медресе (состоящий из двух противостоящих медресе Мадари-Абдуллахан (матери Абдуллахана) и медресе Абдуллахан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spacing w:line="45" w:lineRule="atLeas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Цитадель Арк – город в городе (4 век до н.э.), Мечеть Боло Хаус (начало 20-го века</w:t>
            </w:r>
            <w:r>
              <w:rPr>
                <w:sz w:val="20"/>
                <w:szCs w:val="20"/>
              </w:rPr>
            </w:r>
          </w:p>
          <w:p>
            <w:pPr>
              <w:spacing w:line="4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Мавзолей Саманидов (усыпальница представителей династии Саманидов конца 9-го - начала 10-го века), Мавзолей Чашма Аюб (Родник Иова)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rPr>
                <w:rStyle w:val="674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Обед, ужин свободные.</w:t>
            </w:r>
            <w:r>
              <w:rPr>
                <w:rFonts w:ascii="Arial" w:hAnsi="Arial" w:cs="Arial"/>
                <w:sz w:val="20"/>
                <w:szCs w:val="20"/>
              </w:rPr>
              <w:t xml:space="preserve"> Ноч</w:t>
            </w:r>
            <w:r>
              <w:rPr>
                <w:rFonts w:ascii="Arial" w:hAnsi="Arial" w:cs="Arial"/>
                <w:sz w:val="20"/>
                <w:szCs w:val="20"/>
              </w:rPr>
              <w:t xml:space="preserve">ь</w:t>
            </w:r>
            <w:r>
              <w:rPr>
                <w:rFonts w:ascii="Arial" w:hAnsi="Arial" w:cs="Arial"/>
                <w:sz w:val="20"/>
                <w:szCs w:val="20"/>
              </w:rPr>
              <w:t xml:space="preserve"> в отеле</w:t>
            </w:r>
            <w:r>
              <w:rPr>
                <w:rStyle w:val="674"/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ffffff"/>
            <w:tcMar>
              <w:left w:w="105" w:type="dxa"/>
              <w:top w:w="105" w:type="dxa"/>
              <w:right w:w="105" w:type="dxa"/>
              <w:bottom w:w="105" w:type="dxa"/>
            </w:tcMar>
            <w:tcW w:w="679" w:type="pct"/>
            <w:textDirection w:val="lrTb"/>
            <w:noWrap w:val="false"/>
          </w:tcPr>
          <w:p>
            <w:pPr>
              <w:jc w:val="center"/>
              <w:spacing w:line="45" w:lineRule="atLeast"/>
              <w:rPr>
                <w:rStyle w:val="674"/>
                <w:rFonts w:ascii="Arial" w:hAnsi="Arial" w:cs="Arial"/>
                <w:sz w:val="20"/>
                <w:szCs w:val="20"/>
              </w:rPr>
            </w:pPr>
            <w:r>
              <w:rPr>
                <w:rStyle w:val="674"/>
                <w:rFonts w:ascii="Arial" w:hAnsi="Arial" w:cs="Arial"/>
                <w:sz w:val="20"/>
                <w:szCs w:val="20"/>
              </w:rPr>
              <w:t xml:space="preserve">4 день</w:t>
            </w:r>
            <w:r>
              <w:rPr>
                <w:rStyle w:val="674"/>
                <w:rFonts w:ascii="Arial" w:hAnsi="Arial" w:cs="Arial"/>
                <w:sz w:val="20"/>
                <w:szCs w:val="20"/>
              </w:rPr>
            </w:r>
          </w:p>
          <w:p>
            <w:pPr>
              <w:jc w:val="center"/>
              <w:spacing w:line="45" w:lineRule="atLeast"/>
              <w:rPr>
                <w:rStyle w:val="674"/>
                <w:rFonts w:ascii="Arial" w:hAnsi="Arial" w:cs="Arial"/>
                <w:sz w:val="20"/>
                <w:szCs w:val="20"/>
              </w:rPr>
            </w:pPr>
            <w:r>
              <w:rPr>
                <w:rStyle w:val="674"/>
                <w:rFonts w:ascii="Arial" w:hAnsi="Arial" w:cs="Arial"/>
                <w:sz w:val="20"/>
                <w:szCs w:val="20"/>
              </w:rPr>
              <w:t xml:space="preserve">07/01</w:t>
            </w:r>
            <w:r>
              <w:rPr>
                <w:rStyle w:val="674"/>
                <w:rFonts w:ascii="Arial" w:hAnsi="Arial" w:cs="Arial"/>
                <w:sz w:val="20"/>
                <w:szCs w:val="20"/>
              </w:rPr>
            </w:r>
          </w:p>
          <w:p>
            <w:pPr>
              <w:jc w:val="center"/>
              <w:spacing w:line="45" w:lineRule="atLeast"/>
              <w:rPr>
                <w:rStyle w:val="674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Style w:val="674"/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ffffff"/>
            <w:tcMar>
              <w:left w:w="105" w:type="dxa"/>
              <w:top w:w="105" w:type="dxa"/>
              <w:right w:w="105" w:type="dxa"/>
              <w:bottom w:w="105" w:type="dxa"/>
            </w:tcMar>
            <w:tcW w:w="4321" w:type="pct"/>
            <w:vAlign w:val="center"/>
            <w:textDirection w:val="lrTb"/>
            <w:noWrap w:val="false"/>
          </w:tcPr>
          <w:p>
            <w:pPr>
              <w:spacing w:line="45" w:lineRule="atLeast"/>
              <w:rPr>
                <w:rStyle w:val="674"/>
                <w:rFonts w:ascii="Arial" w:hAnsi="Arial" w:cs="Arial"/>
              </w:rPr>
            </w:pPr>
            <w:r>
              <w:rPr>
                <w:rStyle w:val="674"/>
                <w:rFonts w:ascii="Arial" w:hAnsi="Arial" w:cs="Arial"/>
                <w:sz w:val="22"/>
                <w:szCs w:val="22"/>
              </w:rPr>
              <w:t xml:space="preserve">Бухара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674"/>
                <w:rFonts w:ascii="Arial" w:hAnsi="Arial" w:cs="Arial"/>
                <w:sz w:val="22"/>
                <w:szCs w:val="22"/>
              </w:rPr>
              <w:t xml:space="preserve">-</w:t>
            </w:r>
            <w:r>
              <w:rPr>
                <w:rStyle w:val="674"/>
                <w:rFonts w:ascii="Arial" w:hAnsi="Arial" w:cs="Arial"/>
                <w:sz w:val="22"/>
                <w:szCs w:val="22"/>
              </w:rPr>
              <w:t xml:space="preserve">С</w:t>
            </w:r>
            <w:r>
              <w:rPr>
                <w:rStyle w:val="674"/>
                <w:rFonts w:ascii="Arial" w:hAnsi="Arial" w:cs="Arial"/>
                <w:sz w:val="22"/>
                <w:szCs w:val="22"/>
              </w:rPr>
              <w:t xml:space="preserve">анкт-Петербург</w:t>
            </w:r>
            <w:r>
              <w:rPr>
                <w:rStyle w:val="674"/>
                <w:rFonts w:ascii="Arial" w:hAnsi="Arial" w:cs="Arial"/>
              </w:rPr>
            </w:r>
          </w:p>
          <w:p>
            <w:pPr>
              <w:spacing w:line="4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Завтрак в отеле.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spacing w:line="4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Свободное время.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Освобождение номеров до 1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2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:00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spacing w:line="45" w:lineRule="atLeast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:00 трансфер для вылета в аэропорт рейсом HY641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25</w:t>
            </w:r>
            <w:r>
              <w:rPr>
                <w:b/>
                <w:bCs/>
              </w:rPr>
            </w:r>
          </w:p>
        </w:tc>
      </w:tr>
    </w:tbl>
    <w:p>
      <w:pPr>
        <w:pStyle w:val="676"/>
        <w:ind w:left="-1276"/>
        <w:jc w:val="center"/>
        <w:spacing w:before="0" w:beforeAutospacing="0" w:after="150" w:afterAutospacing="0"/>
        <w:shd w:val="clear" w:color="auto" w:fill="ffffff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*** КОНЕЦ УСЛУГ ***</w:t>
      </w:r>
      <w:r>
        <w:rPr>
          <w:rFonts w:ascii="Arial" w:hAnsi="Arial" w:cs="Arial"/>
          <w:b/>
          <w:sz w:val="20"/>
          <w:szCs w:val="20"/>
        </w:rPr>
      </w:r>
    </w:p>
    <w:tbl>
      <w:tblPr>
        <w:tblW w:w="11165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828"/>
        <w:gridCol w:w="3678"/>
        <w:gridCol w:w="3659"/>
      </w:tblGrid>
      <w:tr>
        <w:trPr>
          <w:trHeight w:val="300"/>
        </w:trPr>
        <w:tc>
          <w:tcPr>
            <w:shd w:val="clear" w:color="auto" w:fill="c6d9f1"/>
            <w:tcW w:w="3828" w:type="dxa"/>
            <w:vAlign w:val="center"/>
            <w:textDirection w:val="lrTb"/>
            <w:noWrap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Количество человек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shd w:val="clear" w:color="auto" w:fill="c6d9f1"/>
            <w:tcW w:w="36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Стоимость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з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а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номер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в Долларах США 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Категория 3 звезды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shd w:val="clear" w:color="auto" w:fill="c6d9f1"/>
            <w:tcW w:w="365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Стоимость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з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а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номер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в Долларах США 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Категория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звезды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W w:w="3828" w:type="dxa"/>
            <w:vAlign w:val="center"/>
            <w:textDirection w:val="lrTb"/>
            <w:noWrap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standard 1ad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367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  <w:lang w:val="en-US"/>
              </w:rPr>
              <w:t xml:space="preserve">870</w:t>
            </w:r>
            <w:r>
              <w:rPr>
                <w:rFonts w:ascii="Book Antiqua" w:hAnsi="Book Antiqua" w:cs="Arial CYR"/>
                <w:b/>
                <w:bCs/>
                <w:sz w:val="20"/>
                <w:szCs w:val="20"/>
                <w:lang w:val="en-US"/>
              </w:rPr>
            </w:r>
          </w:p>
        </w:tc>
        <w:tc>
          <w:tcPr>
            <w:tcW w:w="3659" w:type="dxa"/>
            <w:textDirection w:val="lrTb"/>
            <w:noWrap w:val="false"/>
          </w:tcPr>
          <w:p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960</w:t>
            </w: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W w:w="3828" w:type="dxa"/>
            <w:vAlign w:val="center"/>
            <w:textDirection w:val="lrTb"/>
            <w:noWrap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standard 2ad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367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  <w:lang w:val="en-US"/>
              </w:rPr>
              <w:t xml:space="preserve">1528</w:t>
            </w:r>
            <w:r>
              <w:rPr>
                <w:rFonts w:ascii="Book Antiqua" w:hAnsi="Book Antiqua" w:cs="Arial CYR"/>
                <w:b/>
                <w:bCs/>
                <w:sz w:val="20"/>
                <w:szCs w:val="20"/>
                <w:lang w:val="en-US"/>
              </w:rPr>
            </w:r>
          </w:p>
        </w:tc>
        <w:tc>
          <w:tcPr>
            <w:tcW w:w="3659" w:type="dxa"/>
            <w:textDirection w:val="lrTb"/>
            <w:noWrap w:val="false"/>
          </w:tcPr>
          <w:p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1696</w:t>
            </w: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W w:w="3828" w:type="dxa"/>
            <w:vAlign w:val="center"/>
            <w:textDirection w:val="lrTb"/>
            <w:noWrap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standard 1ad+1ch (2-11,99)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367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  <w:lang w:val="en-US"/>
              </w:rPr>
              <w:t xml:space="preserve">1528</w:t>
            </w:r>
            <w:r>
              <w:rPr>
                <w:rFonts w:ascii="Book Antiqua" w:hAnsi="Book Antiqua" w:cs="Arial CYR"/>
                <w:b/>
                <w:bCs/>
                <w:sz w:val="20"/>
                <w:szCs w:val="20"/>
                <w:lang w:val="en-US"/>
              </w:rPr>
            </w:r>
          </w:p>
        </w:tc>
        <w:tc>
          <w:tcPr>
            <w:tcW w:w="3659" w:type="dxa"/>
            <w:textDirection w:val="lrTb"/>
            <w:noWrap w:val="false"/>
          </w:tcPr>
          <w:p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1696</w:t>
            </w:r>
            <w:r>
              <w:rPr>
                <w:rFonts w:ascii="Book Antiqua" w:hAnsi="Book Antiqua" w:cs="Arial CYR"/>
                <w:b/>
                <w:bCs/>
                <w:sz w:val="20"/>
                <w:szCs w:val="20"/>
                <w:lang w:val="en-US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W w:w="3828" w:type="dxa"/>
            <w:vAlign w:val="center"/>
            <w:textDirection w:val="lrTb"/>
            <w:noWrap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standard 1ad+1ch (2-11,99)+1ch(2-11,99)exb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</w:r>
          </w:p>
        </w:tc>
        <w:tc>
          <w:tcPr>
            <w:tcW w:w="367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  <w:lang w:val="en-US"/>
              </w:rPr>
              <w:t xml:space="preserve">2227</w:t>
            </w:r>
            <w:r>
              <w:rPr>
                <w:rFonts w:ascii="Book Antiqua" w:hAnsi="Book Antiqua" w:cs="Arial CYR"/>
                <w:b/>
                <w:bCs/>
                <w:sz w:val="20"/>
                <w:szCs w:val="20"/>
                <w:lang w:val="en-US"/>
              </w:rPr>
            </w:r>
          </w:p>
        </w:tc>
        <w:tc>
          <w:tcPr>
            <w:tcW w:w="3659" w:type="dxa"/>
            <w:textDirection w:val="lrTb"/>
            <w:noWrap w:val="false"/>
          </w:tcPr>
          <w:p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2462</w:t>
            </w: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W w:w="3828" w:type="dxa"/>
            <w:vAlign w:val="center"/>
            <w:textDirection w:val="lrTb"/>
            <w:noWrap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standard 2ad+1ch (2-11,99)exb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</w:r>
          </w:p>
        </w:tc>
        <w:tc>
          <w:tcPr>
            <w:tcW w:w="367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  <w:lang w:val="en-US"/>
              </w:rPr>
              <w:t xml:space="preserve">2227</w:t>
            </w:r>
            <w:r>
              <w:rPr>
                <w:rFonts w:ascii="Book Antiqua" w:hAnsi="Book Antiqua" w:cs="Arial CYR"/>
                <w:b/>
                <w:bCs/>
                <w:sz w:val="20"/>
                <w:szCs w:val="20"/>
                <w:lang w:val="en-US"/>
              </w:rPr>
            </w:r>
          </w:p>
        </w:tc>
        <w:tc>
          <w:tcPr>
            <w:tcW w:w="3659" w:type="dxa"/>
            <w:textDirection w:val="lrTb"/>
            <w:noWrap w:val="false"/>
          </w:tcPr>
          <w:p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2462</w:t>
            </w:r>
            <w:r>
              <w:rPr>
                <w:rFonts w:ascii="Book Antiqua" w:hAnsi="Book Antiqua" w:cs="Arial CYR"/>
                <w:b/>
                <w:bCs/>
                <w:sz w:val="20"/>
                <w:szCs w:val="20"/>
                <w:lang w:val="en-US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W w:w="3828" w:type="dxa"/>
            <w:vAlign w:val="center"/>
            <w:textDirection w:val="lrTb"/>
            <w:noWrap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standard 2ad+1ad exb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</w:r>
          </w:p>
        </w:tc>
        <w:tc>
          <w:tcPr>
            <w:tcW w:w="367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  <w:lang w:val="en-US"/>
              </w:rPr>
              <w:t xml:space="preserve">2227</w:t>
            </w:r>
            <w:r>
              <w:rPr>
                <w:rFonts w:ascii="Book Antiqua" w:hAnsi="Book Antiqua" w:cs="Arial CYR"/>
                <w:b/>
                <w:bCs/>
                <w:sz w:val="20"/>
                <w:szCs w:val="20"/>
                <w:lang w:val="en-US"/>
              </w:rPr>
            </w:r>
          </w:p>
        </w:tc>
        <w:tc>
          <w:tcPr>
            <w:tcW w:w="3659" w:type="dxa"/>
            <w:textDirection w:val="lrTb"/>
            <w:noWrap w:val="false"/>
          </w:tcPr>
          <w:p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2462</w:t>
            </w:r>
            <w:r>
              <w:rPr>
                <w:rFonts w:ascii="Book Antiqua" w:hAnsi="Book Antiqua" w:cs="Arial CYR"/>
                <w:b/>
                <w:bCs/>
                <w:sz w:val="20"/>
                <w:szCs w:val="20"/>
                <w:lang w:val="en-US"/>
              </w:rPr>
            </w:r>
          </w:p>
        </w:tc>
      </w:tr>
    </w:tbl>
    <w:p>
      <w:pPr>
        <w:ind w:left="-709" w:right="-2"/>
        <w:jc w:val="center"/>
        <w:rPr>
          <w:rFonts w:ascii="Arial" w:hAnsi="Arial" w:cs="Arial"/>
          <w:b/>
          <w:i/>
          <w:sz w:val="20"/>
          <w:szCs w:val="20"/>
          <w:u w:val="single"/>
          <w:lang w:val="en-US"/>
        </w:rPr>
        <w:outlineLvl w:val="0"/>
      </w:pPr>
      <w:r>
        <w:rPr>
          <w:rFonts w:ascii="Arial" w:hAnsi="Arial" w:cs="Arial"/>
          <w:b/>
          <w:i/>
          <w:sz w:val="20"/>
          <w:szCs w:val="20"/>
          <w:u w:val="single"/>
          <w:lang w:val="en-US"/>
        </w:rPr>
      </w:r>
      <w:r>
        <w:rPr>
          <w:rFonts w:ascii="Arial" w:hAnsi="Arial" w:cs="Arial"/>
          <w:b/>
          <w:i/>
          <w:sz w:val="20"/>
          <w:szCs w:val="20"/>
          <w:u w:val="single"/>
          <w:lang w:val="en-US"/>
        </w:rPr>
      </w:r>
    </w:p>
    <w:tbl>
      <w:tblPr>
        <w:tblW w:w="11165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828"/>
        <w:gridCol w:w="3676"/>
        <w:gridCol w:w="3661"/>
      </w:tblGrid>
      <w:tr>
        <w:trPr>
          <w:trHeight w:val="300"/>
        </w:trPr>
        <w:tc>
          <w:tcPr>
            <w:shd w:val="clear" w:color="auto" w:fill="dbe5f1" w:themeFill="accent1" w:themeFillTint="33"/>
            <w:tcW w:w="3828" w:type="dxa"/>
            <w:vAlign w:val="center"/>
            <w:textDirection w:val="lrTb"/>
            <w:noWrap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Города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shd w:val="clear" w:color="auto" w:fill="dbe5f1" w:themeFill="accent1" w:themeFillTint="33"/>
            <w:tcW w:w="36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Отели категории 3 звезды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shd w:val="clear" w:color="auto" w:fill="dbe5f1" w:themeFill="accent1" w:themeFillTint="33"/>
            <w:tcW w:w="3661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Отели категории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звезды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W w:w="3828" w:type="dxa"/>
            <w:vAlign w:val="center"/>
            <w:textDirection w:val="lrTb"/>
            <w:noWrap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Самарканд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36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Mevlana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или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подобный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3661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Dilimah,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Zeravshan Parkside </w:t>
            </w:r>
            <w:r>
              <w:rPr>
                <w:rFonts w:ascii="Arial" w:hAnsi="Arial" w:cs="Arial"/>
                <w:sz w:val="20"/>
                <w:szCs w:val="20"/>
              </w:rPr>
              <w:t xml:space="preserve">или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подобный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W w:w="3828" w:type="dxa"/>
            <w:vAlign w:val="center"/>
            <w:textDirection w:val="lrTb"/>
            <w:noWrap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Бухара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36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Bibi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Khanim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As-Salam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или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подобный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</w:r>
          </w:p>
        </w:tc>
        <w:tc>
          <w:tcPr>
            <w:tcW w:w="3661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Shakhriston, Malika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или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подобный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W w:w="3828" w:type="dxa"/>
            <w:vAlign w:val="center"/>
            <w:textDirection w:val="lrTb"/>
            <w:noWrap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Ташкент 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36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Grand Capital </w:t>
            </w:r>
            <w:r>
              <w:rPr>
                <w:rFonts w:ascii="Arial" w:hAnsi="Arial" w:cs="Arial"/>
                <w:sz w:val="20"/>
                <w:szCs w:val="20"/>
              </w:rPr>
              <w:t xml:space="preserve">или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подобный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</w:p>
        </w:tc>
        <w:tc>
          <w:tcPr>
            <w:tcW w:w="3661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Navruz </w:t>
            </w:r>
            <w:r>
              <w:rPr>
                <w:rFonts w:ascii="Arial" w:hAnsi="Arial" w:cs="Arial"/>
                <w:sz w:val="20"/>
                <w:szCs w:val="20"/>
              </w:rPr>
              <w:t xml:space="preserve">или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подобный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</w:p>
        </w:tc>
      </w:tr>
    </w:tbl>
    <w:p>
      <w:pPr>
        <w:pStyle w:val="676"/>
        <w:spacing w:before="0" w:beforeAutospacing="0" w:after="0" w:afterAutospacing="0"/>
        <w:shd w:val="clear" w:color="auto" w:fill="ffffff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</w:r>
      <w:r>
        <w:rPr>
          <w:rFonts w:ascii="Arial" w:hAnsi="Arial" w:cs="Arial"/>
          <w:b/>
          <w:sz w:val="20"/>
          <w:szCs w:val="20"/>
          <w:lang w:val="en-US"/>
        </w:rPr>
      </w:r>
    </w:p>
    <w:p>
      <w:pPr>
        <w:ind w:left="-426"/>
        <w:shd w:val="clear" w:color="auto" w:fill="dbe5f1" w:themeFill="accent1" w:themeFillTint="33"/>
        <w:rPr>
          <w:rFonts w:ascii="Arial" w:hAnsi="Arial" w:cs="Arial"/>
          <w:b/>
          <w:sz w:val="20"/>
          <w:szCs w:val="20"/>
        </w:rPr>
        <w:outlineLvl w:val="0"/>
      </w:pPr>
      <w:r>
        <w:rPr>
          <w:rFonts w:ascii="Arial" w:hAnsi="Arial" w:cs="Arial"/>
          <w:b/>
          <w:sz w:val="20"/>
          <w:szCs w:val="20"/>
        </w:rPr>
        <w:t xml:space="preserve">В программу включено:</w:t>
      </w:r>
      <w:r>
        <w:rPr>
          <w:rFonts w:ascii="Arial" w:hAnsi="Arial" w:cs="Arial"/>
          <w:b/>
          <w:sz w:val="20"/>
          <w:szCs w:val="20"/>
        </w:rPr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Рейс HY 632  03 января 2025  LED-TAS (СПб - Ташкент)  вылет 22:50 прибытие 05:40+1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Рейс HY 9641  07 января  2025 BHK-LED (Бухара - СПб) вылет    18:35 прибытие 21:45</w:t>
      </w:r>
      <w:r>
        <w:rPr>
          <w:rFonts w:ascii="Arial" w:hAnsi="Arial" w:cs="Arial"/>
          <w:sz w:val="20"/>
          <w:szCs w:val="20"/>
        </w:rPr>
      </w:r>
    </w:p>
    <w:p>
      <w:pPr>
        <w:numPr>
          <w:ilvl w:val="0"/>
          <w:numId w:val="1"/>
        </w:numPr>
        <w:ind w:left="-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Проживание в указанных гостиницах </w:t>
      </w:r>
      <w:r>
        <w:rPr>
          <w:rFonts w:ascii="Arial" w:hAnsi="Arial" w:cs="Arial"/>
          <w:sz w:val="20"/>
          <w:szCs w:val="20"/>
        </w:rPr>
        <w:t xml:space="preserve">(или</w:t>
      </w:r>
      <w:r>
        <w:rPr>
          <w:rFonts w:ascii="Arial" w:hAnsi="Arial" w:cs="Arial"/>
          <w:sz w:val="20"/>
          <w:szCs w:val="20"/>
        </w:rPr>
        <w:t xml:space="preserve"> одинаковых по </w:t>
      </w:r>
      <w:r>
        <w:rPr>
          <w:rFonts w:ascii="Arial" w:hAnsi="Arial" w:cs="Arial"/>
          <w:sz w:val="20"/>
          <w:szCs w:val="20"/>
        </w:rPr>
        <w:t xml:space="preserve">уровню)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c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двухместным размещением (регистрация проживания).</w:t>
      </w:r>
      <w:r>
        <w:rPr>
          <w:rFonts w:ascii="Arial" w:hAnsi="Arial" w:cs="Arial"/>
          <w:sz w:val="20"/>
          <w:szCs w:val="20"/>
        </w:rPr>
      </w:r>
    </w:p>
    <w:p>
      <w:pPr>
        <w:numPr>
          <w:ilvl w:val="0"/>
          <w:numId w:val="1"/>
        </w:numPr>
        <w:ind w:left="-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Питание: </w:t>
      </w:r>
      <w:r>
        <w:rPr>
          <w:rFonts w:ascii="Arial" w:hAnsi="Arial" w:cs="Arial"/>
          <w:b/>
          <w:sz w:val="20"/>
          <w:szCs w:val="20"/>
        </w:rPr>
        <w:t xml:space="preserve">завтраки в отелях</w:t>
      </w:r>
      <w:r>
        <w:rPr>
          <w:rFonts w:ascii="Arial" w:hAnsi="Arial" w:cs="Arial"/>
          <w:sz w:val="20"/>
          <w:szCs w:val="20"/>
        </w:rPr>
      </w:r>
    </w:p>
    <w:p>
      <w:pPr>
        <w:numPr>
          <w:ilvl w:val="0"/>
          <w:numId w:val="1"/>
        </w:numPr>
        <w:ind w:left="-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Комфортабельный кондиционированный транспорт на весь маршрут</w:t>
      </w:r>
      <w:r>
        <w:rPr>
          <w:rFonts w:ascii="Arial" w:hAnsi="Arial" w:cs="Arial"/>
          <w:sz w:val="20"/>
          <w:szCs w:val="20"/>
        </w:rPr>
      </w:r>
    </w:p>
    <w:p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 человек – автобус до 45 мест</w:t>
      </w:r>
      <w:r>
        <w:rPr>
          <w:rFonts w:ascii="Arial" w:hAnsi="Arial" w:cs="Arial"/>
          <w:sz w:val="20"/>
          <w:szCs w:val="20"/>
        </w:rPr>
      </w:r>
    </w:p>
    <w:p>
      <w:pPr>
        <w:numPr>
          <w:ilvl w:val="0"/>
          <w:numId w:val="1"/>
        </w:numPr>
        <w:ind w:left="-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Встречи / проводы в аэропорту</w:t>
      </w:r>
      <w:r>
        <w:rPr>
          <w:rFonts w:ascii="Arial" w:hAnsi="Arial" w:cs="Arial"/>
          <w:sz w:val="20"/>
          <w:szCs w:val="20"/>
        </w:rPr>
      </w:r>
    </w:p>
    <w:p>
      <w:pPr>
        <w:numPr>
          <w:ilvl w:val="0"/>
          <w:numId w:val="1"/>
        </w:numPr>
        <w:ind w:left="-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ЖД билет эконом-класса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Ташкент</w:t>
      </w:r>
      <w:r>
        <w:rPr>
          <w:rFonts w:ascii="Arial" w:hAnsi="Arial" w:cs="Arial"/>
          <w:sz w:val="20"/>
          <w:szCs w:val="20"/>
        </w:rPr>
        <w:t xml:space="preserve">-</w:t>
      </w:r>
      <w:r>
        <w:rPr>
          <w:rFonts w:ascii="Arial" w:hAnsi="Arial" w:cs="Arial"/>
          <w:sz w:val="20"/>
          <w:szCs w:val="20"/>
        </w:rPr>
        <w:t xml:space="preserve">Самаркан</w:t>
      </w:r>
      <w:r>
        <w:rPr>
          <w:rFonts w:ascii="Arial" w:hAnsi="Arial" w:cs="Arial"/>
          <w:sz w:val="20"/>
          <w:szCs w:val="20"/>
        </w:rPr>
        <w:t xml:space="preserve">д</w:t>
      </w:r>
      <w:r>
        <w:rPr>
          <w:rFonts w:ascii="Arial" w:hAnsi="Arial" w:cs="Arial"/>
          <w:sz w:val="20"/>
          <w:szCs w:val="20"/>
        </w:rPr>
        <w:t xml:space="preserve">-Бухара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согласно расписанию</w:t>
      </w:r>
      <w:r>
        <w:rPr>
          <w:rFonts w:ascii="Arial" w:hAnsi="Arial" w:cs="Arial"/>
          <w:sz w:val="20"/>
          <w:szCs w:val="20"/>
        </w:rPr>
        <w:t xml:space="preserve"> и наличи</w:t>
      </w:r>
      <w:r>
        <w:rPr>
          <w:rFonts w:ascii="Arial" w:hAnsi="Arial" w:cs="Arial"/>
          <w:sz w:val="20"/>
          <w:szCs w:val="20"/>
        </w:rPr>
        <w:t xml:space="preserve">ю</w:t>
      </w:r>
      <w:r>
        <w:rPr>
          <w:rFonts w:ascii="Arial" w:hAnsi="Arial" w:cs="Arial"/>
          <w:sz w:val="20"/>
          <w:szCs w:val="20"/>
        </w:rPr>
        <w:t xml:space="preserve"> мест</w:t>
      </w:r>
      <w:r>
        <w:rPr>
          <w:rFonts w:ascii="Arial" w:hAnsi="Arial" w:cs="Arial"/>
          <w:sz w:val="20"/>
          <w:szCs w:val="20"/>
        </w:rPr>
      </w:r>
    </w:p>
    <w:p>
      <w:pPr>
        <w:numPr>
          <w:ilvl w:val="0"/>
          <w:numId w:val="1"/>
        </w:numPr>
        <w:ind w:left="-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Экскурсии по памятникам и монументам на </w:t>
      </w:r>
      <w:r>
        <w:rPr>
          <w:rFonts w:ascii="Arial" w:hAnsi="Arial" w:cs="Arial"/>
          <w:sz w:val="20"/>
          <w:szCs w:val="20"/>
        </w:rPr>
        <w:t xml:space="preserve">русском</w:t>
      </w:r>
      <w:r>
        <w:rPr>
          <w:rFonts w:ascii="Arial" w:hAnsi="Arial" w:cs="Arial"/>
          <w:sz w:val="20"/>
          <w:szCs w:val="20"/>
        </w:rPr>
        <w:t xml:space="preserve"> языке</w:t>
      </w:r>
      <w:r>
        <w:rPr>
          <w:rFonts w:ascii="Arial" w:hAnsi="Arial" w:cs="Arial"/>
          <w:sz w:val="20"/>
          <w:szCs w:val="20"/>
        </w:rPr>
      </w:r>
    </w:p>
    <w:p>
      <w:pPr>
        <w:numPr>
          <w:ilvl w:val="0"/>
          <w:numId w:val="1"/>
        </w:numPr>
        <w:ind w:left="-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Гид-сопровождающий по маршруту</w:t>
      </w:r>
      <w:r>
        <w:rPr>
          <w:rFonts w:ascii="Arial" w:hAnsi="Arial" w:cs="Arial"/>
          <w:sz w:val="20"/>
          <w:szCs w:val="20"/>
        </w:rPr>
      </w:r>
    </w:p>
    <w:p>
      <w:pPr>
        <w:numPr>
          <w:ilvl w:val="0"/>
          <w:numId w:val="1"/>
        </w:numPr>
        <w:ind w:left="-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Медицинская страховка</w:t>
      </w:r>
      <w:r>
        <w:rPr>
          <w:rFonts w:ascii="Arial" w:hAnsi="Arial" w:cs="Arial"/>
          <w:sz w:val="20"/>
          <w:szCs w:val="20"/>
        </w:rPr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left="-426"/>
        <w:shd w:val="clear" w:color="auto" w:fill="dbe5f1" w:themeFill="accent1" w:themeFillTint="33"/>
        <w:rPr>
          <w:rFonts w:ascii="Arial" w:hAnsi="Arial" w:cs="Arial"/>
          <w:b/>
          <w:sz w:val="20"/>
          <w:szCs w:val="20"/>
        </w:rPr>
        <w:outlineLvl w:val="0"/>
      </w:pPr>
      <w:r>
        <w:rPr>
          <w:rFonts w:ascii="Arial" w:hAnsi="Arial" w:cs="Arial"/>
          <w:b/>
          <w:sz w:val="20"/>
          <w:szCs w:val="20"/>
        </w:rPr>
        <w:t xml:space="preserve">В цену не включено:</w:t>
      </w:r>
      <w:r>
        <w:rPr>
          <w:rFonts w:ascii="Arial" w:hAnsi="Arial" w:cs="Arial"/>
          <w:b/>
          <w:sz w:val="20"/>
          <w:szCs w:val="20"/>
        </w:rPr>
      </w:r>
    </w:p>
    <w:p>
      <w:pPr>
        <w:numPr>
          <w:ilvl w:val="0"/>
          <w:numId w:val="1"/>
        </w:numPr>
        <w:ind w:left="-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Доплата за сингл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Входные билеты на указанные монументы</w:t>
      </w:r>
      <w:r>
        <w:rPr>
          <w:rFonts w:ascii="Arial" w:hAnsi="Arial" w:cs="Arial"/>
          <w:sz w:val="20"/>
          <w:szCs w:val="20"/>
        </w:rPr>
        <w:t xml:space="preserve">. Оплачиваются на месте. </w:t>
      </w:r>
      <w:r>
        <w:rPr>
          <w:rFonts w:ascii="Arial" w:hAnsi="Arial" w:cs="Arial"/>
          <w:b/>
          <w:bCs/>
          <w:sz w:val="20"/>
          <w:szCs w:val="20"/>
        </w:rPr>
        <w:t xml:space="preserve">Около 45 долларов с человека</w:t>
      </w:r>
      <w:r>
        <w:rPr>
          <w:rFonts w:ascii="Arial" w:hAnsi="Arial" w:cs="Arial"/>
          <w:sz w:val="20"/>
          <w:szCs w:val="20"/>
        </w:rPr>
      </w:r>
    </w:p>
    <w:p>
      <w:pPr>
        <w:numPr>
          <w:ilvl w:val="0"/>
          <w:numId w:val="1"/>
        </w:numPr>
        <w:ind w:left="-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Питание – обеды и ужины. </w:t>
      </w:r>
      <w:r>
        <w:rPr>
          <w:rFonts w:ascii="Arial" w:hAnsi="Arial" w:cs="Arial"/>
          <w:b/>
          <w:bCs/>
          <w:sz w:val="20"/>
          <w:szCs w:val="20"/>
        </w:rPr>
        <w:t xml:space="preserve">Одно питание стоит около 10 долларов</w:t>
      </w:r>
      <w:r>
        <w:rPr>
          <w:rFonts w:ascii="Arial" w:hAnsi="Arial" w:cs="Arial"/>
          <w:sz w:val="20"/>
          <w:szCs w:val="20"/>
        </w:rPr>
      </w:r>
    </w:p>
    <w:p>
      <w:pPr>
        <w:numPr>
          <w:ilvl w:val="0"/>
          <w:numId w:val="2"/>
        </w:numPr>
        <w:ind w:left="-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Алкогольные и прохладительные напитки</w:t>
      </w:r>
      <w:r>
        <w:rPr>
          <w:rFonts w:ascii="Arial" w:hAnsi="Arial" w:cs="Arial"/>
          <w:sz w:val="20"/>
          <w:szCs w:val="20"/>
        </w:rPr>
      </w:r>
    </w:p>
    <w:p>
      <w:pPr>
        <w:numPr>
          <w:ilvl w:val="0"/>
          <w:numId w:val="2"/>
        </w:numPr>
        <w:ind w:left="-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Сборы за фото - и видеосъемку в музеях</w:t>
      </w:r>
      <w:r>
        <w:rPr>
          <w:rFonts w:ascii="Arial" w:hAnsi="Arial" w:cs="Arial"/>
          <w:sz w:val="20"/>
          <w:szCs w:val="20"/>
        </w:rPr>
      </w:r>
    </w:p>
    <w:p>
      <w:pPr>
        <w:numPr>
          <w:ilvl w:val="0"/>
          <w:numId w:val="2"/>
        </w:numPr>
        <w:ind w:left="-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Чаевые, и носильщики в отелях/аэропорту</w:t>
      </w:r>
      <w:r>
        <w:rPr>
          <w:rFonts w:ascii="Arial" w:hAnsi="Arial" w:cs="Arial"/>
          <w:sz w:val="20"/>
          <w:szCs w:val="20"/>
        </w:rPr>
      </w:r>
    </w:p>
    <w:p>
      <w:pPr>
        <w:numPr>
          <w:ilvl w:val="0"/>
          <w:numId w:val="2"/>
        </w:numPr>
        <w:ind w:left="-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Личные расходы</w:t>
      </w:r>
      <w:r>
        <w:rPr>
          <w:rFonts w:ascii="Arial" w:hAnsi="Arial" w:cs="Arial"/>
          <w:sz w:val="20"/>
          <w:szCs w:val="20"/>
        </w:rPr>
      </w:r>
    </w:p>
    <w:p>
      <w:pPr>
        <w:numPr>
          <w:ilvl w:val="0"/>
          <w:numId w:val="2"/>
        </w:numPr>
        <w:ind w:left="-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Другие услуги не указанные выше</w:t>
      </w:r>
      <w:r>
        <w:rPr>
          <w:rFonts w:ascii="Arial" w:hAnsi="Arial" w:cs="Arial"/>
          <w:sz w:val="20"/>
          <w:szCs w:val="20"/>
        </w:rPr>
      </w:r>
    </w:p>
    <w:p>
      <w:pPr>
        <w:pStyle w:val="676"/>
        <w:spacing w:before="0" w:beforeAutospacing="0" w:after="150" w:afterAutospacing="0"/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709" w:right="424" w:bottom="42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CYR">
    <w:panose1 w:val="020B0604020202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Book Antiqua">
    <w:panose1 w:val="02040502050405020303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firstLine="567"/>
      <w:jc w:val="right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0"/>
    <w:next w:val="67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0"/>
    <w:next w:val="67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0"/>
    <w:next w:val="67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0"/>
    <w:next w:val="67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0"/>
    <w:next w:val="67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0"/>
    <w:next w:val="67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0"/>
    <w:next w:val="67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0"/>
    <w:next w:val="67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0"/>
    <w:next w:val="67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70"/>
    <w:next w:val="67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1"/>
    <w:link w:val="34"/>
    <w:uiPriority w:val="10"/>
    <w:rPr>
      <w:sz w:val="48"/>
      <w:szCs w:val="48"/>
    </w:rPr>
  </w:style>
  <w:style w:type="paragraph" w:styleId="36">
    <w:name w:val="Subtitle"/>
    <w:basedOn w:val="670"/>
    <w:next w:val="67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1"/>
    <w:link w:val="36"/>
    <w:uiPriority w:val="11"/>
    <w:rPr>
      <w:sz w:val="24"/>
      <w:szCs w:val="24"/>
    </w:rPr>
  </w:style>
  <w:style w:type="paragraph" w:styleId="38">
    <w:name w:val="Quote"/>
    <w:basedOn w:val="670"/>
    <w:next w:val="67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0"/>
    <w:next w:val="67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1"/>
    <w:link w:val="682"/>
    <w:uiPriority w:val="99"/>
  </w:style>
  <w:style w:type="character" w:styleId="45">
    <w:name w:val="Footer Char"/>
    <w:basedOn w:val="671"/>
    <w:link w:val="684"/>
    <w:uiPriority w:val="99"/>
  </w:style>
  <w:style w:type="paragraph" w:styleId="46">
    <w:name w:val="Caption"/>
    <w:basedOn w:val="670"/>
    <w:next w:val="6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4"/>
    <w:uiPriority w:val="99"/>
  </w:style>
  <w:style w:type="table" w:styleId="48">
    <w:name w:val="Table Grid"/>
    <w:basedOn w:val="6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1"/>
    <w:uiPriority w:val="99"/>
    <w:unhideWhenUsed/>
    <w:rPr>
      <w:vertAlign w:val="superscript"/>
    </w:rPr>
  </w:style>
  <w:style w:type="paragraph" w:styleId="178">
    <w:name w:val="endnote text"/>
    <w:basedOn w:val="67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1"/>
    <w:uiPriority w:val="99"/>
    <w:semiHidden/>
    <w:unhideWhenUsed/>
    <w:rPr>
      <w:vertAlign w:val="superscript"/>
    </w:rPr>
  </w:style>
  <w:style w:type="paragraph" w:styleId="181">
    <w:name w:val="toc 1"/>
    <w:basedOn w:val="670"/>
    <w:next w:val="67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0"/>
    <w:next w:val="67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0"/>
    <w:next w:val="67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0"/>
    <w:next w:val="67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0"/>
    <w:next w:val="67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0"/>
    <w:next w:val="67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0"/>
    <w:next w:val="67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0"/>
    <w:next w:val="67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0"/>
    <w:next w:val="67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0"/>
    <w:next w:val="670"/>
    <w:uiPriority w:val="99"/>
    <w:unhideWhenUsed/>
    <w:pPr>
      <w:spacing w:after="0" w:afterAutospacing="0"/>
    </w:pPr>
  </w:style>
  <w:style w:type="paragraph" w:styleId="67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71" w:default="1">
    <w:name w:val="Default Paragraph Font"/>
    <w:uiPriority w:val="1"/>
    <w:semiHidden/>
    <w:unhideWhenUsed/>
  </w:style>
  <w:style w:type="table" w:styleId="6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3" w:default="1">
    <w:name w:val="No List"/>
    <w:uiPriority w:val="99"/>
    <w:semiHidden/>
    <w:unhideWhenUsed/>
  </w:style>
  <w:style w:type="character" w:styleId="674">
    <w:name w:val="Strong"/>
    <w:uiPriority w:val="22"/>
    <w:qFormat/>
    <w:rPr>
      <w:b/>
      <w:bCs/>
    </w:rPr>
  </w:style>
  <w:style w:type="character" w:styleId="675" w:customStyle="1">
    <w:name w:val="apple-converted-space"/>
    <w:basedOn w:val="671"/>
  </w:style>
  <w:style w:type="paragraph" w:styleId="676">
    <w:name w:val="Normal (Web)"/>
    <w:basedOn w:val="670"/>
    <w:uiPriority w:val="99"/>
    <w:pPr>
      <w:spacing w:before="100" w:beforeAutospacing="1" w:after="100" w:afterAutospacing="1"/>
    </w:pPr>
  </w:style>
  <w:style w:type="paragraph" w:styleId="677">
    <w:name w:val="Body Text Indent"/>
    <w:basedOn w:val="670"/>
    <w:link w:val="678"/>
    <w:pPr>
      <w:ind w:left="283"/>
      <w:spacing w:after="120"/>
    </w:pPr>
  </w:style>
  <w:style w:type="character" w:styleId="678" w:customStyle="1">
    <w:name w:val="Основной текст с отступом Знак"/>
    <w:basedOn w:val="671"/>
    <w:link w:val="677"/>
    <w:rPr>
      <w:rFonts w:ascii="Times New Roman" w:hAnsi="Times New Roman" w:eastAsia="Times New Roman" w:cs="Times New Roman"/>
      <w:sz w:val="24"/>
      <w:szCs w:val="24"/>
    </w:rPr>
  </w:style>
  <w:style w:type="paragraph" w:styleId="679">
    <w:name w:val="Balloon Text"/>
    <w:basedOn w:val="670"/>
    <w:link w:val="680"/>
    <w:uiPriority w:val="99"/>
    <w:semiHidden/>
    <w:unhideWhenUsed/>
    <w:rPr>
      <w:rFonts w:ascii="Tahoma" w:hAnsi="Tahoma" w:cs="Tahoma"/>
      <w:sz w:val="16"/>
      <w:szCs w:val="16"/>
    </w:rPr>
  </w:style>
  <w:style w:type="character" w:styleId="680" w:customStyle="1">
    <w:name w:val="Текст выноски Знак"/>
    <w:basedOn w:val="671"/>
    <w:link w:val="679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681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2">
    <w:name w:val="Header"/>
    <w:basedOn w:val="670"/>
    <w:link w:val="68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83" w:customStyle="1">
    <w:name w:val="Верхний колонтитул Знак"/>
    <w:basedOn w:val="671"/>
    <w:link w:val="68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4">
    <w:name w:val="Footer"/>
    <w:basedOn w:val="670"/>
    <w:link w:val="68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85" w:customStyle="1">
    <w:name w:val="Нижний колонтитул Знак"/>
    <w:basedOn w:val="671"/>
    <w:link w:val="68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6">
    <w:name w:val="List Paragraph"/>
    <w:basedOn w:val="670"/>
    <w:uiPriority w:val="34"/>
    <w:qFormat/>
    <w:pPr>
      <w:contextualSpacing/>
      <w:ind w:left="720"/>
    </w:pPr>
  </w:style>
  <w:style w:type="character" w:styleId="687">
    <w:name w:val="Hyperlink"/>
    <w:basedOn w:val="671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Relationship Id="rId12" Type="http://schemas.openxmlformats.org/officeDocument/2006/relationships/image" Target="media/image2.jpg"/><Relationship Id="rId13" Type="http://schemas.openxmlformats.org/officeDocument/2006/relationships/image" Target="media/image3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B2703-349F-46F9-8C2A-91C24D2B7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Сновальчук Елена</cp:lastModifiedBy>
  <cp:revision>3</cp:revision>
  <dcterms:created xsi:type="dcterms:W3CDTF">2024-10-02T15:07:00Z</dcterms:created>
  <dcterms:modified xsi:type="dcterms:W3CDTF">2024-10-24T09:50:45Z</dcterms:modified>
</cp:coreProperties>
</file>